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pacing w:before="0" w:beforeAutospacing="0" w:after="0" w:afterAutospacing="0" w:line="480" w:lineRule="atLeast"/>
        <w:jc w:val="center"/>
        <w:rPr>
          <w:rFonts w:hint="eastAsia" w:asciiTheme="majorEastAsia" w:hAnsiTheme="majorEastAsia" w:eastAsiaTheme="majorEastAsia" w:cstheme="majorEastAsia"/>
          <w:b/>
          <w:bCs/>
          <w:color w:val="000000"/>
          <w:sz w:val="35"/>
          <w:szCs w:val="35"/>
        </w:rPr>
      </w:pPr>
      <w:r>
        <w:rPr>
          <w:rFonts w:hint="eastAsia" w:asciiTheme="majorEastAsia" w:hAnsiTheme="majorEastAsia" w:eastAsiaTheme="majorEastAsia" w:cstheme="majorEastAsia"/>
          <w:b/>
          <w:bCs/>
          <w:color w:val="000000"/>
          <w:sz w:val="35"/>
          <w:szCs w:val="35"/>
        </w:rPr>
        <w:t>长春市道路和管线工程规划管理办法</w:t>
      </w:r>
    </w:p>
    <w:p>
      <w:pPr>
        <w:widowControl/>
        <w:shd w:val="clear" w:color="auto" w:fill="FFFFFF"/>
        <w:spacing w:line="301" w:lineRule="atLeast"/>
        <w:ind w:firstLine="480"/>
        <w:jc w:val="left"/>
        <w:rPr>
          <w:rFonts w:hint="eastAsia" w:ascii="仿宋" w:hAnsi="仿宋" w:eastAsia="仿宋" w:cs="Arial"/>
          <w:b/>
          <w:bCs/>
          <w:i/>
          <w:iCs/>
          <w:color w:val="333333"/>
          <w:kern w:val="0"/>
          <w:sz w:val="28"/>
          <w:szCs w:val="28"/>
        </w:rPr>
      </w:pPr>
      <w:bookmarkStart w:id="0" w:name="_GoBack"/>
      <w:bookmarkEnd w:id="0"/>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b/>
          <w:color w:val="333333"/>
          <w:kern w:val="0"/>
          <w:sz w:val="28"/>
          <w:szCs w:val="28"/>
        </w:rPr>
        <w:t>第一条</w:t>
      </w:r>
      <w:r>
        <w:rPr>
          <w:rFonts w:ascii="仿宋" w:hAnsi="仿宋" w:eastAsia="仿宋" w:cs="Arial"/>
          <w:color w:val="333333"/>
          <w:kern w:val="0"/>
          <w:sz w:val="28"/>
          <w:szCs w:val="28"/>
        </w:rPr>
        <w:t xml:space="preserve"> 为了加强本市道路和管线工程的规划管理，科学合理地利用城市空间，完善城市基础设施，根据《中华人民共和国城市规划法》、《吉林省城市规划条例》和《长春市城市规划管理若干规定》，结合本市实际，制定本办法。</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b/>
          <w:color w:val="333333"/>
          <w:kern w:val="0"/>
          <w:sz w:val="28"/>
          <w:szCs w:val="28"/>
        </w:rPr>
        <w:t>第二条</w:t>
      </w:r>
      <w:r>
        <w:rPr>
          <w:rFonts w:ascii="仿宋" w:hAnsi="仿宋" w:eastAsia="仿宋" w:cs="Arial"/>
          <w:color w:val="333333"/>
          <w:kern w:val="0"/>
          <w:sz w:val="28"/>
          <w:szCs w:val="28"/>
        </w:rPr>
        <w:t xml:space="preserve"> 本办法所称的道路包括城市规划区域内除村屯道路以外的已建成的道路和规划道路、桥梁、隧道及广场等。</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color w:val="333333"/>
          <w:kern w:val="0"/>
          <w:sz w:val="28"/>
          <w:szCs w:val="28"/>
        </w:rPr>
        <w:t>本办法所称的管线工程是指城市规划区域内建设于地下或者地上的给水、排水、燃气、电力、通讯、信息、热力、消防等市政公用管线工程，以及油料、化工物料等特种管线工程。</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b/>
          <w:color w:val="333333"/>
          <w:kern w:val="0"/>
          <w:sz w:val="28"/>
          <w:szCs w:val="28"/>
        </w:rPr>
        <w:t>第三条</w:t>
      </w:r>
      <w:r>
        <w:rPr>
          <w:rFonts w:ascii="仿宋" w:hAnsi="仿宋" w:eastAsia="仿宋" w:cs="Arial"/>
          <w:color w:val="333333"/>
          <w:kern w:val="0"/>
          <w:sz w:val="28"/>
          <w:szCs w:val="28"/>
        </w:rPr>
        <w:t xml:space="preserve"> 本市城市规划区域内的道路和管线工程的新建、改建、扩建适用本办法。</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b/>
          <w:color w:val="333333"/>
          <w:kern w:val="0"/>
          <w:sz w:val="28"/>
          <w:szCs w:val="28"/>
        </w:rPr>
        <w:t>第四条</w:t>
      </w:r>
      <w:r>
        <w:rPr>
          <w:rFonts w:ascii="仿宋" w:hAnsi="仿宋" w:eastAsia="仿宋" w:cs="Arial"/>
          <w:color w:val="333333"/>
          <w:kern w:val="0"/>
          <w:sz w:val="28"/>
          <w:szCs w:val="28"/>
        </w:rPr>
        <w:t xml:space="preserve"> 市城市规划行政主管部门负责本市城市规划区域内道路和管线工程的规划管理工作。有关部门应当按照各自职责，做好道路和管线工程的规划管理工作。</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b/>
          <w:color w:val="333333"/>
          <w:kern w:val="0"/>
          <w:sz w:val="28"/>
          <w:szCs w:val="28"/>
        </w:rPr>
        <w:t>第五条</w:t>
      </w:r>
      <w:r>
        <w:rPr>
          <w:rFonts w:ascii="仿宋" w:hAnsi="仿宋" w:eastAsia="仿宋" w:cs="Arial"/>
          <w:color w:val="333333"/>
          <w:kern w:val="0"/>
          <w:sz w:val="28"/>
          <w:szCs w:val="28"/>
        </w:rPr>
        <w:t xml:space="preserve"> 道路和管线工程建设应当符合城市规划和市容景观的要求。严格控制城市道路架空管线建设，现有的架空管线应当逐步埋入地下。道路和管线工程建设应当统一规划，统筹兼顾，协调建设，同步实施。</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color w:val="333333"/>
          <w:kern w:val="0"/>
          <w:sz w:val="28"/>
          <w:szCs w:val="28"/>
        </w:rPr>
        <w:t>需要依附城市道路建设的管线工程，应当按照先地下，后地上的施工原则，与城市道路建设同步进行。</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b/>
          <w:color w:val="333333"/>
          <w:kern w:val="0"/>
          <w:sz w:val="28"/>
          <w:szCs w:val="28"/>
        </w:rPr>
        <w:t>第六条</w:t>
      </w:r>
      <w:r>
        <w:rPr>
          <w:rFonts w:ascii="仿宋" w:hAnsi="仿宋" w:eastAsia="仿宋" w:cs="Arial"/>
          <w:color w:val="333333"/>
          <w:kern w:val="0"/>
          <w:sz w:val="28"/>
          <w:szCs w:val="28"/>
        </w:rPr>
        <w:t xml:space="preserve"> 本市各有关部门或者单位应当依据城市总体规划组织编制道路和管线专业系统规划，由市城市规划行政主管部门综合协调后，报市人民政府审批。城市详细规划的编制，应当与道路和管线专业系统规划相协调。</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b/>
          <w:color w:val="333333"/>
          <w:kern w:val="0"/>
          <w:sz w:val="28"/>
          <w:szCs w:val="28"/>
        </w:rPr>
        <w:t>第七条</w:t>
      </w:r>
      <w:r>
        <w:rPr>
          <w:rFonts w:ascii="仿宋" w:hAnsi="仿宋" w:eastAsia="仿宋" w:cs="Arial"/>
          <w:color w:val="333333"/>
          <w:kern w:val="0"/>
          <w:sz w:val="28"/>
          <w:szCs w:val="28"/>
        </w:rPr>
        <w:t xml:space="preserve"> 列入市政工程年度建设计划的道路和管线工程，建设单位应当委托具有相应资质的规划设计单位编制道路和管线工程综合规划，报市城市规划行政主管部门审批。</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b/>
          <w:color w:val="333333"/>
          <w:kern w:val="0"/>
          <w:sz w:val="28"/>
          <w:szCs w:val="28"/>
        </w:rPr>
        <w:t>第八条</w:t>
      </w:r>
      <w:r>
        <w:rPr>
          <w:rFonts w:ascii="仿宋" w:hAnsi="仿宋" w:eastAsia="仿宋" w:cs="Arial"/>
          <w:color w:val="333333"/>
          <w:kern w:val="0"/>
          <w:sz w:val="28"/>
          <w:szCs w:val="28"/>
        </w:rPr>
        <w:t xml:space="preserve"> 新建、改建、扩建道路或者管线工程需要征用土地的，建设单位应当向市城市规划行政主管部门提出申请，市城市规划行政主管部门应当于接到申请之日起15日内，对符合规划设计条件的，核发建设用地规划许可证并提出规划设计要求；对不符合规划设计条件的，书面答复建设单位。</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b/>
          <w:color w:val="333333"/>
          <w:kern w:val="0"/>
          <w:sz w:val="28"/>
          <w:szCs w:val="28"/>
        </w:rPr>
        <w:t>第九条</w:t>
      </w:r>
      <w:r>
        <w:rPr>
          <w:rFonts w:ascii="仿宋" w:hAnsi="仿宋" w:eastAsia="仿宋" w:cs="Arial"/>
          <w:color w:val="333333"/>
          <w:kern w:val="0"/>
          <w:sz w:val="28"/>
          <w:szCs w:val="28"/>
        </w:rPr>
        <w:t xml:space="preserve"> 新建、改建、扩建道路或者管线工程不需要征用土地的，建设单位应当向市城市规划行政主管部门提出申请，市城市规划行政主管部门应当于接到申请之日起15日内，对符合规划条件的，核发道路或管线规划设计条件通知书；对不符合规划条件的，书面答复建设单位。</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b/>
          <w:color w:val="333333"/>
          <w:kern w:val="0"/>
          <w:sz w:val="28"/>
          <w:szCs w:val="28"/>
        </w:rPr>
        <w:t>第十条</w:t>
      </w:r>
      <w:r>
        <w:rPr>
          <w:rFonts w:ascii="仿宋" w:hAnsi="仿宋" w:eastAsia="仿宋" w:cs="Arial"/>
          <w:color w:val="333333"/>
          <w:kern w:val="0"/>
          <w:sz w:val="28"/>
          <w:szCs w:val="28"/>
        </w:rPr>
        <w:t xml:space="preserve"> 建设单位申请建设用地规划许可证须提供下列材料：</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color w:val="333333"/>
          <w:kern w:val="0"/>
          <w:sz w:val="28"/>
          <w:szCs w:val="28"/>
        </w:rPr>
        <w:t>(一)拟建道路或者管线工程项目申请报告；</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color w:val="333333"/>
          <w:kern w:val="0"/>
          <w:sz w:val="28"/>
          <w:szCs w:val="28"/>
        </w:rPr>
        <w:t>(二)拟建道路方案图或者管线路径方案图(要求使用长春市统一坐标系统和高程系统的比例尺为1： 500或者1： 1000的地形图)。</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b/>
          <w:color w:val="333333"/>
          <w:kern w:val="0"/>
          <w:sz w:val="28"/>
          <w:szCs w:val="28"/>
        </w:rPr>
        <w:t>第十一条</w:t>
      </w:r>
      <w:r>
        <w:rPr>
          <w:rFonts w:ascii="仿宋" w:hAnsi="仿宋" w:eastAsia="仿宋" w:cs="Arial"/>
          <w:color w:val="333333"/>
          <w:kern w:val="0"/>
          <w:sz w:val="28"/>
          <w:szCs w:val="28"/>
        </w:rPr>
        <w:t xml:space="preserve"> 建设单位应当委托具有相应资质的设计单位进行方案设计，方案设计完成后，建设单位应当到有关部门办理会签手续，再向市城市规划行政主管部门申请核发建设工程规划许可证。市城市规划行政主管部门应当于接到申请之日起15日内，对符合规划要求的，核发建设工程规划许可证。</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b/>
          <w:color w:val="333333"/>
          <w:kern w:val="0"/>
          <w:sz w:val="28"/>
          <w:szCs w:val="28"/>
        </w:rPr>
        <w:t>第十二条</w:t>
      </w:r>
      <w:r>
        <w:rPr>
          <w:rFonts w:ascii="仿宋" w:hAnsi="仿宋" w:eastAsia="仿宋" w:cs="Arial"/>
          <w:color w:val="333333"/>
          <w:kern w:val="0"/>
          <w:sz w:val="28"/>
          <w:szCs w:val="28"/>
        </w:rPr>
        <w:t xml:space="preserve"> 建设单位申请建设工程规划许可证除本办法</w:t>
      </w:r>
      <w:r>
        <w:rPr>
          <w:rFonts w:ascii="仿宋" w:hAnsi="仿宋" w:eastAsia="仿宋" w:cs="Arial"/>
          <w:b/>
          <w:color w:val="333333"/>
          <w:kern w:val="0"/>
          <w:sz w:val="28"/>
          <w:szCs w:val="28"/>
        </w:rPr>
        <w:t>第十条</w:t>
      </w:r>
      <w:r>
        <w:rPr>
          <w:rFonts w:ascii="仿宋" w:hAnsi="仿宋" w:eastAsia="仿宋" w:cs="Arial"/>
          <w:color w:val="333333"/>
          <w:kern w:val="0"/>
          <w:sz w:val="28"/>
          <w:szCs w:val="28"/>
        </w:rPr>
        <w:t>所列材料外还须提供下列材料：</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color w:val="333333"/>
          <w:kern w:val="0"/>
          <w:sz w:val="28"/>
          <w:szCs w:val="28"/>
        </w:rPr>
        <w:t>(一)道路或者管线工程设计说明书；</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color w:val="333333"/>
          <w:kern w:val="0"/>
          <w:sz w:val="28"/>
          <w:szCs w:val="28"/>
        </w:rPr>
        <w:t>(二)具有规定技术参数的道路或者管线工程设计方案图纸和其电子文本；</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color w:val="333333"/>
          <w:kern w:val="0"/>
          <w:sz w:val="28"/>
          <w:szCs w:val="28"/>
        </w:rPr>
        <w:t>(三)有关部门或者单位的会签意见；</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color w:val="333333"/>
          <w:kern w:val="0"/>
          <w:sz w:val="28"/>
          <w:szCs w:val="28"/>
        </w:rPr>
        <w:t>(四)有征用土地情形的，提供建设用地批准书；</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color w:val="333333"/>
          <w:kern w:val="0"/>
          <w:sz w:val="28"/>
          <w:szCs w:val="28"/>
        </w:rPr>
        <w:t>(五)属地下管线建设的，提供委托具有相应资质的测绘单位进行地下管线跟踪测量的协议书；</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color w:val="333333"/>
          <w:kern w:val="0"/>
          <w:sz w:val="28"/>
          <w:szCs w:val="28"/>
        </w:rPr>
        <w:t>(六)按照规划要求，需要提供的其他有关材料。</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b/>
          <w:color w:val="333333"/>
          <w:kern w:val="0"/>
          <w:sz w:val="28"/>
          <w:szCs w:val="28"/>
        </w:rPr>
        <w:t>第十三条</w:t>
      </w:r>
      <w:r>
        <w:rPr>
          <w:rFonts w:ascii="仿宋" w:hAnsi="仿宋" w:eastAsia="仿宋" w:cs="Arial"/>
          <w:color w:val="333333"/>
          <w:kern w:val="0"/>
          <w:sz w:val="28"/>
          <w:szCs w:val="28"/>
        </w:rPr>
        <w:t xml:space="preserve"> 建设单位在取得建设工程规划许可证后，方可到有关部门办理开工或者挖掘手续。</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b/>
          <w:color w:val="333333"/>
          <w:kern w:val="0"/>
          <w:sz w:val="28"/>
          <w:szCs w:val="28"/>
        </w:rPr>
        <w:t>第十四条</w:t>
      </w:r>
      <w:r>
        <w:rPr>
          <w:rFonts w:ascii="仿宋" w:hAnsi="仿宋" w:eastAsia="仿宋" w:cs="Arial"/>
          <w:color w:val="333333"/>
          <w:kern w:val="0"/>
          <w:sz w:val="28"/>
          <w:szCs w:val="28"/>
        </w:rPr>
        <w:t xml:space="preserve"> 有下列情形之一的，应当在工程竣工后30日内到规划行政主管部门办理备案：</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color w:val="333333"/>
          <w:kern w:val="0"/>
          <w:sz w:val="28"/>
          <w:szCs w:val="28"/>
        </w:rPr>
        <w:t>(一)突发漏水、漏气、漏电等管线抢险工程；</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color w:val="333333"/>
          <w:kern w:val="0"/>
          <w:sz w:val="28"/>
          <w:szCs w:val="28"/>
        </w:rPr>
        <w:t>(二)因工程施工需要，在施工工地范围内设置临时管线；</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color w:val="333333"/>
          <w:kern w:val="0"/>
          <w:sz w:val="28"/>
          <w:szCs w:val="28"/>
        </w:rPr>
        <w:t>(三)因农业生产需要，设置的越野管线；</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color w:val="333333"/>
          <w:kern w:val="0"/>
          <w:sz w:val="28"/>
          <w:szCs w:val="28"/>
        </w:rPr>
        <w:t>(四)因其他突发事件，必须进行抢险抢修的道路或者管线工程</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b/>
          <w:color w:val="333333"/>
          <w:kern w:val="0"/>
          <w:sz w:val="28"/>
          <w:szCs w:val="28"/>
        </w:rPr>
        <w:t>第十五条</w:t>
      </w:r>
      <w:r>
        <w:rPr>
          <w:rFonts w:ascii="仿宋" w:hAnsi="仿宋" w:eastAsia="仿宋" w:cs="Arial"/>
          <w:color w:val="333333"/>
          <w:kern w:val="0"/>
          <w:sz w:val="28"/>
          <w:szCs w:val="28"/>
        </w:rPr>
        <w:t xml:space="preserve"> 建设单位应当按照建设工程规划许可证的要求和核准的设计文件进行道路和管线工程建设，不得擅自变更；确需变更的，须经市城市规划行政主管部门批准。</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b/>
          <w:color w:val="333333"/>
          <w:kern w:val="0"/>
          <w:sz w:val="28"/>
          <w:szCs w:val="28"/>
        </w:rPr>
        <w:t>第十六条</w:t>
      </w:r>
      <w:r>
        <w:rPr>
          <w:rFonts w:ascii="仿宋" w:hAnsi="仿宋" w:eastAsia="仿宋" w:cs="Arial"/>
          <w:color w:val="333333"/>
          <w:kern w:val="0"/>
          <w:sz w:val="28"/>
          <w:szCs w:val="28"/>
        </w:rPr>
        <w:t xml:space="preserve"> 道路或者管线工程开工前，建设单位应当委托具有相应资质的测绘单位进行放线。放线后，建设单位应当向市城市规划行政主管部门申请验线，经验线符合规划要求的，核发道路或者管线工程验线合格通知书；对不符合规划要求的，责令其改正。改正后重新申请验线。</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b/>
          <w:color w:val="333333"/>
          <w:kern w:val="0"/>
          <w:sz w:val="28"/>
          <w:szCs w:val="28"/>
        </w:rPr>
        <w:t>第十七条</w:t>
      </w:r>
      <w:r>
        <w:rPr>
          <w:rFonts w:ascii="仿宋" w:hAnsi="仿宋" w:eastAsia="仿宋" w:cs="Arial"/>
          <w:color w:val="333333"/>
          <w:kern w:val="0"/>
          <w:sz w:val="28"/>
          <w:szCs w:val="28"/>
        </w:rPr>
        <w:t xml:space="preserve"> 道路或者管线工程竣工交付使用前，建设单位应当向市城市规划行政主管部门申请规划验收。市城市规划行政主管部门自接到申请之日起7日内，对符合规划要求的，核发建设工程竣工规划验收合格通知书；对不符合规划要求的，书面通知建设单位进行整改，整改后再申请验收。</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b/>
          <w:color w:val="333333"/>
          <w:kern w:val="0"/>
          <w:sz w:val="28"/>
          <w:szCs w:val="28"/>
        </w:rPr>
        <w:t>第十八条</w:t>
      </w:r>
      <w:r>
        <w:rPr>
          <w:rFonts w:ascii="仿宋" w:hAnsi="仿宋" w:eastAsia="仿宋" w:cs="Arial"/>
          <w:color w:val="333333"/>
          <w:kern w:val="0"/>
          <w:sz w:val="28"/>
          <w:szCs w:val="28"/>
        </w:rPr>
        <w:t xml:space="preserve"> 建设单位申领建设工程竣工规划验收合格通知书，须提供下列材料：</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color w:val="333333"/>
          <w:kern w:val="0"/>
          <w:sz w:val="28"/>
          <w:szCs w:val="28"/>
        </w:rPr>
        <w:t>(一)建设工程规划许可证及附件；</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color w:val="333333"/>
          <w:kern w:val="0"/>
          <w:sz w:val="28"/>
          <w:szCs w:val="28"/>
        </w:rPr>
        <w:t>(二)道路或者管线规划设计图纸及有关文件；</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color w:val="333333"/>
          <w:kern w:val="0"/>
          <w:sz w:val="28"/>
          <w:szCs w:val="28"/>
        </w:rPr>
        <w:t>(三)道路或者管线工程竣工图纸和地下管线工程竣工测绘图纸及有关文件；</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color w:val="333333"/>
          <w:kern w:val="0"/>
          <w:sz w:val="28"/>
          <w:szCs w:val="28"/>
        </w:rPr>
        <w:t>(四)其他相关资料。</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b/>
          <w:color w:val="333333"/>
          <w:kern w:val="0"/>
          <w:sz w:val="28"/>
          <w:szCs w:val="28"/>
        </w:rPr>
        <w:t>第十九条</w:t>
      </w:r>
      <w:r>
        <w:rPr>
          <w:rFonts w:ascii="仿宋" w:hAnsi="仿宋" w:eastAsia="仿宋" w:cs="Arial"/>
          <w:color w:val="333333"/>
          <w:kern w:val="0"/>
          <w:sz w:val="28"/>
          <w:szCs w:val="28"/>
        </w:rPr>
        <w:t xml:space="preserve"> 新建、改建、扩建道路，在拆除地上建筑物或者构筑物时应当按照规划红线一次拆迁到位。道路的断面与交叉方式、绿化、消防及其他附属设施均应当按照规划一次形成。因特殊原因暂不能一次实施到位的，可按照规划分期实施。</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color w:val="333333"/>
          <w:kern w:val="0"/>
          <w:sz w:val="28"/>
          <w:szCs w:val="28"/>
        </w:rPr>
        <w:t>新建、改建、扩建城市桥梁、隧道应当按照规划一次实施到位。因特殊原因暂不能一次实施到位的，应当按照规划做好预留条件，并预留管线通过位置。</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b/>
          <w:color w:val="333333"/>
          <w:kern w:val="0"/>
          <w:sz w:val="28"/>
          <w:szCs w:val="28"/>
        </w:rPr>
        <w:t>第二十条</w:t>
      </w:r>
      <w:r>
        <w:rPr>
          <w:rFonts w:ascii="仿宋" w:hAnsi="仿宋" w:eastAsia="仿宋" w:cs="Arial"/>
          <w:color w:val="333333"/>
          <w:kern w:val="0"/>
          <w:sz w:val="28"/>
          <w:szCs w:val="28"/>
        </w:rPr>
        <w:t xml:space="preserve"> 新建、改建和扩建的通讯、信息工程，需要敷设地下通讯、信息管线的，应当进行规划控制，采用共同通道。</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b/>
          <w:color w:val="333333"/>
          <w:kern w:val="0"/>
          <w:sz w:val="28"/>
          <w:szCs w:val="28"/>
        </w:rPr>
        <w:t>第二十一条</w:t>
      </w:r>
      <w:r>
        <w:rPr>
          <w:rFonts w:ascii="仿宋" w:hAnsi="仿宋" w:eastAsia="仿宋" w:cs="Arial"/>
          <w:color w:val="333333"/>
          <w:kern w:val="0"/>
          <w:sz w:val="28"/>
          <w:szCs w:val="28"/>
        </w:rPr>
        <w:t xml:space="preserve"> 建设单位敷设的各类管线，应当按照建设工程规划许可证的内容进行建设，不得占用其他管线的规划位置；不得在其他管线的敷设带上铺设。</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b/>
          <w:color w:val="333333"/>
          <w:kern w:val="0"/>
          <w:sz w:val="28"/>
          <w:szCs w:val="28"/>
        </w:rPr>
        <w:t>第二十二条</w:t>
      </w:r>
      <w:r>
        <w:rPr>
          <w:rFonts w:ascii="仿宋" w:hAnsi="仿宋" w:eastAsia="仿宋" w:cs="Arial"/>
          <w:color w:val="333333"/>
          <w:kern w:val="0"/>
          <w:sz w:val="28"/>
          <w:szCs w:val="28"/>
        </w:rPr>
        <w:t xml:space="preserve"> 管线工程需穿越道路、轨道交通线路、人防设施、河道、绿(林)地等，或者涉及消防安全、净空控制、树(林)木保护的，管线建设单位应当征得有关部门或者单位的同意，并采取相应的防护与安全措施。</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b/>
          <w:color w:val="333333"/>
          <w:kern w:val="0"/>
          <w:sz w:val="28"/>
          <w:szCs w:val="28"/>
        </w:rPr>
        <w:t>第二十三条</w:t>
      </w:r>
      <w:r>
        <w:rPr>
          <w:rFonts w:ascii="仿宋" w:hAnsi="仿宋" w:eastAsia="仿宋" w:cs="Arial"/>
          <w:color w:val="333333"/>
          <w:kern w:val="0"/>
          <w:sz w:val="28"/>
          <w:szCs w:val="28"/>
        </w:rPr>
        <w:t xml:space="preserve"> 地下管线埋设的深度和架空管线位置的高度，各类管线的水平间距、垂直间距以及与建筑物、构筑物、树(林)木等的间距，按照国家有关技术标准执行。</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b/>
          <w:color w:val="333333"/>
          <w:kern w:val="0"/>
          <w:sz w:val="28"/>
          <w:szCs w:val="28"/>
        </w:rPr>
        <w:t>第二十四条</w:t>
      </w:r>
      <w:r>
        <w:rPr>
          <w:rFonts w:ascii="仿宋" w:hAnsi="仿宋" w:eastAsia="仿宋" w:cs="Arial"/>
          <w:color w:val="333333"/>
          <w:kern w:val="0"/>
          <w:sz w:val="28"/>
          <w:szCs w:val="28"/>
        </w:rPr>
        <w:t xml:space="preserve"> 市城市规划行政主管部门应当依法加强对道路和管线工程建设的监督检查。</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b/>
          <w:color w:val="333333"/>
          <w:kern w:val="0"/>
          <w:sz w:val="28"/>
          <w:szCs w:val="28"/>
        </w:rPr>
        <w:t>第二十五条</w:t>
      </w:r>
      <w:r>
        <w:rPr>
          <w:rFonts w:ascii="仿宋" w:hAnsi="仿宋" w:eastAsia="仿宋" w:cs="Arial"/>
          <w:color w:val="333333"/>
          <w:kern w:val="0"/>
          <w:sz w:val="28"/>
          <w:szCs w:val="28"/>
        </w:rPr>
        <w:t xml:space="preserve"> 建设单位对市城市规划行政主管部门的监督检查必须给予支持和配合，并有义务提供方便条件，不得拒绝或者阻碍监督检查人员依法执行公务。</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color w:val="333333"/>
          <w:kern w:val="0"/>
          <w:sz w:val="28"/>
          <w:szCs w:val="28"/>
        </w:rPr>
        <w:t>监督检查人员依法执行公务时，应当为被检查者保守商业秘密。</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b/>
          <w:color w:val="333333"/>
          <w:kern w:val="0"/>
          <w:sz w:val="28"/>
          <w:szCs w:val="28"/>
        </w:rPr>
        <w:t>第二十六条</w:t>
      </w:r>
      <w:r>
        <w:rPr>
          <w:rFonts w:ascii="仿宋" w:hAnsi="仿宋" w:eastAsia="仿宋" w:cs="Arial"/>
          <w:color w:val="333333"/>
          <w:kern w:val="0"/>
          <w:sz w:val="28"/>
          <w:szCs w:val="28"/>
        </w:rPr>
        <w:t xml:space="preserve"> 除本办法</w:t>
      </w:r>
      <w:r>
        <w:rPr>
          <w:rFonts w:ascii="仿宋" w:hAnsi="仿宋" w:eastAsia="仿宋" w:cs="Arial"/>
          <w:b/>
          <w:color w:val="333333"/>
          <w:kern w:val="0"/>
          <w:sz w:val="28"/>
          <w:szCs w:val="28"/>
        </w:rPr>
        <w:t>第十四条</w:t>
      </w:r>
      <w:r>
        <w:rPr>
          <w:rFonts w:ascii="仿宋" w:hAnsi="仿宋" w:eastAsia="仿宋" w:cs="Arial"/>
          <w:color w:val="333333"/>
          <w:kern w:val="0"/>
          <w:sz w:val="28"/>
          <w:szCs w:val="28"/>
        </w:rPr>
        <w:t>规定的情形外，未取得建设工程规划许可证而取得施工批准手续的，其施工批准手续无效。</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color w:val="333333"/>
          <w:kern w:val="0"/>
          <w:sz w:val="28"/>
          <w:szCs w:val="28"/>
        </w:rPr>
        <w:t>有关部门给予未取得建设工程规划许可证的建设单位办理施工手续，造成重大损失或者严重后果的，依法追究主要负责人和直接责任人的行政责任。</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b/>
          <w:color w:val="333333"/>
          <w:kern w:val="0"/>
          <w:sz w:val="28"/>
          <w:szCs w:val="28"/>
        </w:rPr>
        <w:t>第二十七条</w:t>
      </w:r>
      <w:r>
        <w:rPr>
          <w:rFonts w:ascii="仿宋" w:hAnsi="仿宋" w:eastAsia="仿宋" w:cs="Arial"/>
          <w:color w:val="333333"/>
          <w:kern w:val="0"/>
          <w:sz w:val="28"/>
          <w:szCs w:val="28"/>
        </w:rPr>
        <w:t xml:space="preserve"> 违反建设工程规划许可证规定进行道路或者管线工程建设的，由市城市规划行政主管部门责令立即停止建设，对严重影响城市规划的责令限期恢复原貌；对影响城市规划尚可采取改正措施的，责令限期改正，并处建设工程违法部分造价5%以上，20%以下的罚款。</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b/>
          <w:color w:val="333333"/>
          <w:kern w:val="0"/>
          <w:sz w:val="28"/>
          <w:szCs w:val="28"/>
        </w:rPr>
        <w:t>第二十八条</w:t>
      </w:r>
      <w:r>
        <w:rPr>
          <w:rFonts w:ascii="仿宋" w:hAnsi="仿宋" w:eastAsia="仿宋" w:cs="Arial"/>
          <w:color w:val="333333"/>
          <w:kern w:val="0"/>
          <w:sz w:val="28"/>
          <w:szCs w:val="28"/>
        </w:rPr>
        <w:t xml:space="preserve"> 违反本办法规定，拒绝、阻碍监督检查人员执行公务的，由公安机关依照《中华人民共和国治安管理处罚条例》予以处罚；构成犯罪的，依法追究其刑事责任。</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b/>
          <w:color w:val="333333"/>
          <w:kern w:val="0"/>
          <w:sz w:val="28"/>
          <w:szCs w:val="28"/>
        </w:rPr>
        <w:t>第二十九条</w:t>
      </w:r>
      <w:r>
        <w:rPr>
          <w:rFonts w:ascii="仿宋" w:hAnsi="仿宋" w:eastAsia="仿宋" w:cs="Arial"/>
          <w:color w:val="333333"/>
          <w:kern w:val="0"/>
          <w:sz w:val="28"/>
          <w:szCs w:val="28"/>
        </w:rPr>
        <w:t xml:space="preserve"> 市城市规划行政主管部门工作人员玩忽职守、滥用职权、徇私舞弊的，由其所在单位或者上级主管机关给予行政处分；构成犯罪的，依法追究刑事责任。</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b/>
          <w:color w:val="333333"/>
          <w:kern w:val="0"/>
          <w:sz w:val="28"/>
          <w:szCs w:val="28"/>
        </w:rPr>
        <w:t>第三十条</w:t>
      </w:r>
      <w:r>
        <w:rPr>
          <w:rFonts w:ascii="仿宋" w:hAnsi="仿宋" w:eastAsia="仿宋" w:cs="Arial"/>
          <w:color w:val="333333"/>
          <w:kern w:val="0"/>
          <w:sz w:val="28"/>
          <w:szCs w:val="28"/>
        </w:rPr>
        <w:t xml:space="preserve"> 当事人对行政处罚决定不服的，可以依照《中华人民共和国行政复议法》和《中华人民共和国行政诉讼法》的规定，申请行政复议或者提起行政诉讼。当事人在法定期限内不申请复议，不提起诉讼，又不履行处罚决定的，由作出行政处罚决定的机关依法申请人民法院强制执行。在行政复议或者行政诉讼期间，不影响行政处罚的执行。</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b/>
          <w:color w:val="333333"/>
          <w:kern w:val="0"/>
          <w:sz w:val="28"/>
          <w:szCs w:val="28"/>
        </w:rPr>
        <w:t>第三十一条</w:t>
      </w:r>
      <w:r>
        <w:rPr>
          <w:rFonts w:ascii="仿宋" w:hAnsi="仿宋" w:eastAsia="仿宋" w:cs="Arial"/>
          <w:color w:val="333333"/>
          <w:kern w:val="0"/>
          <w:sz w:val="28"/>
          <w:szCs w:val="28"/>
        </w:rPr>
        <w:t xml:space="preserve"> 各县(市)的道路和管线工程的规划管理可参照本办法执行。</w:t>
      </w:r>
    </w:p>
    <w:p>
      <w:pPr>
        <w:widowControl/>
        <w:shd w:val="clear" w:color="auto" w:fill="FFFFFF"/>
        <w:spacing w:line="301" w:lineRule="atLeast"/>
        <w:ind w:firstLine="480"/>
        <w:jc w:val="left"/>
        <w:rPr>
          <w:rFonts w:ascii="仿宋" w:hAnsi="仿宋" w:eastAsia="仿宋" w:cs="Arial"/>
          <w:color w:val="333333"/>
          <w:kern w:val="0"/>
          <w:sz w:val="28"/>
          <w:szCs w:val="28"/>
        </w:rPr>
      </w:pPr>
      <w:r>
        <w:rPr>
          <w:rFonts w:ascii="仿宋" w:hAnsi="仿宋" w:eastAsia="仿宋" w:cs="Arial"/>
          <w:b/>
          <w:color w:val="333333"/>
          <w:kern w:val="0"/>
          <w:sz w:val="28"/>
          <w:szCs w:val="28"/>
        </w:rPr>
        <w:t>第三十二条</w:t>
      </w:r>
      <w:r>
        <w:rPr>
          <w:rFonts w:ascii="仿宋" w:hAnsi="仿宋" w:eastAsia="仿宋" w:cs="Arial"/>
          <w:color w:val="333333"/>
          <w:kern w:val="0"/>
          <w:sz w:val="28"/>
          <w:szCs w:val="28"/>
        </w:rPr>
        <w:t xml:space="preserve"> 本办法自2004年4月25日起施行。</w:t>
      </w:r>
    </w:p>
    <w:p>
      <w:pPr>
        <w:shd w:val="clear" w:color="auto" w:fill="FFFFFF"/>
        <w:spacing w:line="376" w:lineRule="atLeast"/>
        <w:rPr>
          <w:color w:val="000000"/>
          <w:sz w:val="20"/>
          <w:szCs w:val="2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 w:name="Cambria">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801AB"/>
    <w:rsid w:val="00133F5B"/>
    <w:rsid w:val="00146F9A"/>
    <w:rsid w:val="00166B89"/>
    <w:rsid w:val="00186FA8"/>
    <w:rsid w:val="00195483"/>
    <w:rsid w:val="001C126B"/>
    <w:rsid w:val="001D35D7"/>
    <w:rsid w:val="001E5267"/>
    <w:rsid w:val="00221F84"/>
    <w:rsid w:val="002B263C"/>
    <w:rsid w:val="002C1951"/>
    <w:rsid w:val="002C76A9"/>
    <w:rsid w:val="00361F85"/>
    <w:rsid w:val="00410142"/>
    <w:rsid w:val="004801AB"/>
    <w:rsid w:val="00511C47"/>
    <w:rsid w:val="005B3AFF"/>
    <w:rsid w:val="0060754C"/>
    <w:rsid w:val="00681D47"/>
    <w:rsid w:val="006F2B38"/>
    <w:rsid w:val="00790BE5"/>
    <w:rsid w:val="007C7A5F"/>
    <w:rsid w:val="008449B7"/>
    <w:rsid w:val="00933076"/>
    <w:rsid w:val="009707AB"/>
    <w:rsid w:val="009B0750"/>
    <w:rsid w:val="00A10A4B"/>
    <w:rsid w:val="00A86AB1"/>
    <w:rsid w:val="00A875DB"/>
    <w:rsid w:val="00B07345"/>
    <w:rsid w:val="00B9435F"/>
    <w:rsid w:val="00C2260E"/>
    <w:rsid w:val="00C82192"/>
    <w:rsid w:val="00D45ED1"/>
    <w:rsid w:val="00DF3C52"/>
    <w:rsid w:val="00F7438F"/>
    <w:rsid w:val="00F9621A"/>
    <w:rsid w:val="00FD06AA"/>
    <w:rsid w:val="75EE6589"/>
    <w:rsid w:val="DD2F0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3"/>
    <w:basedOn w:val="1"/>
    <w:next w:val="1"/>
    <w:link w:val="23"/>
    <w:semiHidden/>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2"/>
    <w:semiHidden/>
    <w:unhideWhenUsed/>
    <w:qFormat/>
    <w:uiPriority w:val="99"/>
    <w:rPr>
      <w:sz w:val="18"/>
      <w:szCs w:val="18"/>
    </w:rPr>
  </w:style>
  <w:style w:type="paragraph" w:styleId="5">
    <w:name w:val="footer"/>
    <w:basedOn w:val="1"/>
    <w:link w:val="25"/>
    <w:semiHidden/>
    <w:unhideWhenUsed/>
    <w:qFormat/>
    <w:uiPriority w:val="99"/>
    <w:pPr>
      <w:tabs>
        <w:tab w:val="center" w:pos="4153"/>
        <w:tab w:val="right" w:pos="8306"/>
      </w:tabs>
      <w:snapToGrid w:val="0"/>
      <w:jc w:val="left"/>
    </w:pPr>
    <w:rPr>
      <w:sz w:val="18"/>
      <w:szCs w:val="18"/>
    </w:rPr>
  </w:style>
  <w:style w:type="paragraph" w:styleId="6">
    <w:name w:val="header"/>
    <w:basedOn w:val="1"/>
    <w:link w:val="2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标题 2 Char"/>
    <w:basedOn w:val="9"/>
    <w:link w:val="2"/>
    <w:qFormat/>
    <w:uiPriority w:val="9"/>
    <w:rPr>
      <w:rFonts w:ascii="宋体" w:hAnsi="宋体" w:eastAsia="宋体" w:cs="宋体"/>
      <w:b/>
      <w:bCs/>
      <w:kern w:val="0"/>
      <w:sz w:val="36"/>
      <w:szCs w:val="36"/>
    </w:rPr>
  </w:style>
  <w:style w:type="paragraph" w:customStyle="1" w:styleId="13">
    <w:name w:val="HTML Top of Form"/>
    <w:basedOn w:val="1"/>
    <w:next w:val="1"/>
    <w:link w:val="14"/>
    <w:semiHidden/>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14">
    <w:name w:val="z-窗体顶端 Char"/>
    <w:basedOn w:val="9"/>
    <w:link w:val="13"/>
    <w:semiHidden/>
    <w:qFormat/>
    <w:uiPriority w:val="99"/>
    <w:rPr>
      <w:rFonts w:ascii="Arial" w:hAnsi="Arial" w:eastAsia="宋体" w:cs="Arial"/>
      <w:vanish/>
      <w:kern w:val="0"/>
      <w:sz w:val="16"/>
      <w:szCs w:val="16"/>
    </w:rPr>
  </w:style>
  <w:style w:type="paragraph" w:customStyle="1" w:styleId="15">
    <w:name w:val="HTML Bottom of Form"/>
    <w:basedOn w:val="1"/>
    <w:next w:val="1"/>
    <w:link w:val="16"/>
    <w:semiHidden/>
    <w:unhideWhenUsed/>
    <w:qFormat/>
    <w:uiPriority w:val="99"/>
    <w:pPr>
      <w:widowControl/>
      <w:pBdr>
        <w:top w:val="single" w:color="auto" w:sz="6" w:space="1"/>
      </w:pBdr>
      <w:jc w:val="center"/>
    </w:pPr>
    <w:rPr>
      <w:rFonts w:ascii="Arial" w:hAnsi="Arial" w:eastAsia="宋体" w:cs="Arial"/>
      <w:vanish/>
      <w:kern w:val="0"/>
      <w:sz w:val="16"/>
      <w:szCs w:val="16"/>
    </w:rPr>
  </w:style>
  <w:style w:type="character" w:customStyle="1" w:styleId="16">
    <w:name w:val="z-窗体底端 Char"/>
    <w:basedOn w:val="9"/>
    <w:link w:val="15"/>
    <w:semiHidden/>
    <w:qFormat/>
    <w:uiPriority w:val="99"/>
    <w:rPr>
      <w:rFonts w:ascii="Arial" w:hAnsi="Arial" w:eastAsia="宋体" w:cs="Arial"/>
      <w:vanish/>
      <w:kern w:val="0"/>
      <w:sz w:val="16"/>
      <w:szCs w:val="16"/>
    </w:rPr>
  </w:style>
  <w:style w:type="character" w:customStyle="1" w:styleId="17">
    <w:name w:val="font"/>
    <w:basedOn w:val="9"/>
    <w:qFormat/>
    <w:uiPriority w:val="0"/>
  </w:style>
  <w:style w:type="character" w:customStyle="1" w:styleId="18">
    <w:name w:val="bigger"/>
    <w:basedOn w:val="9"/>
    <w:qFormat/>
    <w:uiPriority w:val="0"/>
  </w:style>
  <w:style w:type="character" w:customStyle="1" w:styleId="19">
    <w:name w:val="smaller"/>
    <w:basedOn w:val="9"/>
    <w:qFormat/>
    <w:uiPriority w:val="0"/>
  </w:style>
  <w:style w:type="paragraph" w:customStyle="1" w:styleId="20">
    <w:name w:val="xxy_gly"/>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1">
    <w:name w:val="bshare_count"/>
    <w:basedOn w:val="9"/>
    <w:qFormat/>
    <w:uiPriority w:val="0"/>
  </w:style>
  <w:style w:type="character" w:customStyle="1" w:styleId="22">
    <w:name w:val="批注框文本 Char"/>
    <w:basedOn w:val="9"/>
    <w:link w:val="4"/>
    <w:semiHidden/>
    <w:qFormat/>
    <w:uiPriority w:val="99"/>
    <w:rPr>
      <w:sz w:val="18"/>
      <w:szCs w:val="18"/>
    </w:rPr>
  </w:style>
  <w:style w:type="character" w:customStyle="1" w:styleId="23">
    <w:name w:val="标题 3 Char"/>
    <w:basedOn w:val="9"/>
    <w:link w:val="3"/>
    <w:semiHidden/>
    <w:qFormat/>
    <w:uiPriority w:val="9"/>
    <w:rPr>
      <w:b/>
      <w:bCs/>
      <w:sz w:val="32"/>
      <w:szCs w:val="32"/>
    </w:rPr>
  </w:style>
  <w:style w:type="character" w:customStyle="1" w:styleId="24">
    <w:name w:val="页眉 Char"/>
    <w:basedOn w:val="9"/>
    <w:link w:val="6"/>
    <w:semiHidden/>
    <w:qFormat/>
    <w:uiPriority w:val="99"/>
    <w:rPr>
      <w:sz w:val="18"/>
      <w:szCs w:val="18"/>
    </w:rPr>
  </w:style>
  <w:style w:type="character" w:customStyle="1" w:styleId="25">
    <w:name w:val="页脚 Char"/>
    <w:basedOn w:val="9"/>
    <w:link w:val="5"/>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500</Words>
  <Characters>2850</Characters>
  <Lines>23</Lines>
  <Paragraphs>6</Paragraphs>
  <TotalTime>6</TotalTime>
  <ScaleCrop>false</ScaleCrop>
  <LinksUpToDate>false</LinksUpToDate>
  <CharactersWithSpaces>3344</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2020-03-23T23:25:00Z</dcterms:created>
  <dc:creator>Administrator</dc:creator>
  <cp:lastModifiedBy>langchao</cp:lastModifiedBy>
  <dcterms:modified xsi:type="dcterms:W3CDTF">2023-12-29T15:26:24Z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