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EBFDE" w14:textId="0688C828" w:rsidR="00F22DF4" w:rsidRDefault="004E3B6A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长春市国土空间总体规划动态维护方案</w:t>
      </w:r>
      <w:r w:rsidR="005D09E2">
        <w:rPr>
          <w:rFonts w:ascii="方正小标宋_GBK" w:eastAsia="方正小标宋_GBK" w:hAnsi="方正小标宋_GBK" w:cs="方正小标宋_GBK" w:hint="eastAsia"/>
          <w:sz w:val="40"/>
          <w:szCs w:val="40"/>
        </w:rPr>
        <w:t>（2026年度）</w:t>
      </w:r>
    </w:p>
    <w:p w14:paraId="43CB0D65" w14:textId="77777777" w:rsidR="00F22DF4" w:rsidRDefault="004E3B6A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公示稿</w:t>
      </w:r>
    </w:p>
    <w:p w14:paraId="17A88F0E" w14:textId="77777777" w:rsidR="00F22DF4" w:rsidRDefault="00F22DF4">
      <w:pPr>
        <w:rPr>
          <w:rFonts w:ascii="黑体" w:eastAsia="黑体" w:hAnsi="宋体" w:cs="黑体"/>
          <w:color w:val="000000"/>
          <w:sz w:val="32"/>
          <w:szCs w:val="32"/>
          <w:shd w:val="clear" w:color="auto" w:fill="FFFFFF"/>
        </w:rPr>
      </w:pPr>
    </w:p>
    <w:p w14:paraId="5E9FE023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cs="宋体" w:hint="default"/>
          <w:sz w:val="32"/>
          <w:szCs w:val="32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一、工作背景</w:t>
      </w:r>
    </w:p>
    <w:p w14:paraId="12EE10D6" w14:textId="6B1655D9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为深入贯彻党的二十届四中全会精神，对标国家、省、市“十五五”规划部署，落实全国自然资源工作会议及自然资源部要素保障相关文件要求，充分发挥国土空间规划基础性引领作用，强化“十五五”重点项目自然资源要素保障，优化空间布局与资源配置，构建优势互补、高质量发展的区域经济布局和国土空间体系</w:t>
      </w:r>
      <w:r w:rsidR="005D09E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依据自然资源部相关政策与工作部署、吉林省自然资源厅动态调整完善工作方案、市县规划动态维护技术指引，组织开展全市国土空间总体规划动态维护，编制本年度动态维护方案。</w:t>
      </w:r>
    </w:p>
    <w:p w14:paraId="17126B90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ascii="黑体" w:eastAsia="黑体" w:cs="黑体" w:hint="default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二、工作范围</w:t>
      </w:r>
    </w:p>
    <w:p w14:paraId="7E99506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次动态维护工作的覆盖范围包括中心城区、市辖区两个层次。中心城区规划范围为朝阳区、南关区、宽城区、二道区、绿园区全部行政辖区和九台区、德惠市部分区域，含长春新区、中韩（长春）国际合作示范区、长春经济技术开发区、长春净月高新技术产业开发区、长春汽车经济技术开发区、长春莲花山生态旅游度假区，面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平方千米，维护重点为中心城区用地规划布局、城市四线及规划分区。市辖区范围为朝阳区、南关区、宽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城区、二道区、绿园区全部行政辖区，面积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1942.4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平方千米，维护重点为三条控制线。</w:t>
      </w:r>
    </w:p>
    <w:p w14:paraId="5C7C5272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ascii="黑体" w:eastAsia="黑体" w:cs="黑体" w:hint="default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三、总体原则</w:t>
      </w:r>
    </w:p>
    <w:p w14:paraId="12C1DD2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坚持底线约束与总量管控。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严守“三区三线”，维护规划成果权威严肃性，不突破规划规模指标、不改变整体空间格局。</w:t>
      </w:r>
    </w:p>
    <w:p w14:paraId="533BB86B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坚持正向优化与质量提升。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严格依据法律法规及省级技术指引开展维护调整，严守耕地保有量、生态保护任务底线，持续优化空间布局、提升生态功能与城镇发展品质。</w:t>
      </w:r>
    </w:p>
    <w:p w14:paraId="399B80A3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坚持规划协同与系统传导。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深度对接“十五五”发展规划及各专项规划，统筹重大项目、产业升级、民生保障、城市更新空间需求，强化市县规划上下协同、管控统一，做好总体规划与详细规划有效衔接。</w:t>
      </w:r>
    </w:p>
    <w:p w14:paraId="075FEB1C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坚持程序规范与公众参与。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严格遵守法定程序和政策要求，实行部门协同、专家领衔、公众参与，依规履行审议报批流程，所有维护成果纳入国土空间规划“一张图”统一管控，确保数线图一致、全程可追溯可核查。</w:t>
      </w:r>
    </w:p>
    <w:p w14:paraId="67741A0F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ascii="黑体" w:eastAsia="黑体" w:cs="黑体" w:hint="default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四、规划依据</w:t>
      </w:r>
    </w:p>
    <w:p w14:paraId="0723292A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《中华人民共和国土地管理法》</w:t>
      </w:r>
    </w:p>
    <w:p w14:paraId="7BBE1C11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《中华人民共和国城乡规划法》</w:t>
      </w:r>
    </w:p>
    <w:p w14:paraId="5ED95424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《中华人民共和国土地管理法实施条例》</w:t>
      </w:r>
    </w:p>
    <w:p w14:paraId="0D3552D7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《中华人民共和国国民经济和社会发展第十五个五年规划纲要》</w:t>
      </w:r>
    </w:p>
    <w:p w14:paraId="33B3EEA9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《生态保护红线生态环境监督办法（试行）》</w:t>
      </w:r>
    </w:p>
    <w:p w14:paraId="4FA94426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《永久基本农田保护红线管理办法》</w:t>
      </w:r>
    </w:p>
    <w:p w14:paraId="4077FE7D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《城镇开发边界管理办法（试行）》</w:t>
      </w:r>
    </w:p>
    <w:p w14:paraId="3A077B7E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《国土空间调查、规划、用途管制用地用海分类指南》</w:t>
      </w:r>
    </w:p>
    <w:p w14:paraId="1A8EC489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《关于进一步做好自然资源要素保障的通知》</w:t>
      </w:r>
    </w:p>
    <w:p w14:paraId="2516AA19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《吉林省土地管理条例》</w:t>
      </w:r>
    </w:p>
    <w:p w14:paraId="0A710EB5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《吉林省国民经济和社会发展第十五个五年规划纲要》</w:t>
      </w:r>
    </w:p>
    <w:p w14:paraId="1C0663B5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《吉林省国土空间总体规划动态调整完善工作方案》</w:t>
      </w:r>
    </w:p>
    <w:p w14:paraId="77B984F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《吉林省生态保护红线监管办法（试行）》</w:t>
      </w:r>
    </w:p>
    <w:p w14:paraId="66F62BD4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《吉林省城镇开发边界管理实施细则（试行）》</w:t>
      </w:r>
    </w:p>
    <w:p w14:paraId="48AE0751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《长春市国民经济和社会发展第十五个五年规划纲要》</w:t>
      </w:r>
    </w:p>
    <w:p w14:paraId="617A082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《长春市国土空间总体规划（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年）》</w:t>
      </w:r>
    </w:p>
    <w:p w14:paraId="04FF2A11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其他法律法规、政策文件和标准规范。</w:t>
      </w:r>
    </w:p>
    <w:p w14:paraId="1F8C004C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ascii="黑体" w:eastAsia="黑体" w:cs="黑体" w:hint="default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五、方案主要内容及成效</w:t>
      </w:r>
    </w:p>
    <w:p w14:paraId="343CAFBC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（一）永久基本农田正向优化</w:t>
      </w:r>
    </w:p>
    <w:p w14:paraId="417D6CFC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本次动态维护不涉及永久基本农田调整。</w:t>
      </w:r>
    </w:p>
    <w:p w14:paraId="311BBB05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（二）生态保护红线正向优化</w:t>
      </w:r>
    </w:p>
    <w:p w14:paraId="471FFF35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本次动态维护不涉及生态保护红线调整。</w:t>
      </w:r>
    </w:p>
    <w:p w14:paraId="2F395C3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（三）城镇开发边界正向优化</w:t>
      </w:r>
    </w:p>
    <w:p w14:paraId="5E3E0EDB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落实主体功能区战略，统筹考虑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“十五五”重点项目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，引导产业项目在城镇开发边界内集中布局，调入城镇开发边界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283.24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公顷，调出城镇开发边界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290.43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公顷，维护后城镇开发边界总面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87426.30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公顷，城镇开发边界拓展倍数不增加。维护后总量不突破、布局更集聚、城镇功能品质有提升。</w:t>
      </w:r>
    </w:p>
    <w:p w14:paraId="45347B92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（四）其他重要控制线正向优化</w:t>
      </w:r>
    </w:p>
    <w:p w14:paraId="21EBCD5A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结合城镇开发边界优化、详细规划调整，对城市“四线”进行局部优化</w:t>
      </w:r>
      <w:r>
        <w:rPr>
          <w:rFonts w:ascii="Times New Roman" w:eastAsia="仿宋_GB2312" w:hAnsi="Times New Roman" w:cs="Times New Roman" w:hint="eastAsia"/>
          <w:spacing w:val="8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在确保总体结构不发生较大变化、功能不降低、规模不减少、服务范围不改变的前提下，提高公园绿地的空间供给</w:t>
      </w:r>
      <w:r>
        <w:rPr>
          <w:rFonts w:ascii="Times New Roman" w:eastAsia="仿宋_GB2312" w:hAnsi="Times New Roman" w:cs="Times New Roman" w:hint="eastAsia"/>
          <w:spacing w:val="8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提升基础设施保障能力。</w:t>
      </w:r>
    </w:p>
    <w:p w14:paraId="1828B9C8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（五）规划分区正向优化</w:t>
      </w:r>
    </w:p>
    <w:p w14:paraId="0D355DAF" w14:textId="54557186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color w:val="0000FF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结合三条控制线优化调整同步开展规划分区动态维护，主要对城镇发展区、乡村发展区、生态控制区和农田保护区进行调整，确保分区边界与管控要素精准衔接，避免空间交叉重叠和用途冲突。城镇发展区的调整依托城镇开发边界优化，确保新增建设用地布局与城镇发展方向一致。乡村发展区聚焦乡村振兴发展，对接乡村重大项目落位，与农田保护区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功能互补，推动农村一二三产业融合发展。生态控制区在保障生态系统稳定基础上，提升空间的完整性、连续性。</w:t>
      </w:r>
    </w:p>
    <w:p w14:paraId="1339A926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（六）中心城区布局正向优化</w:t>
      </w:r>
    </w:p>
    <w:p w14:paraId="3B1A5A9A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在不改变城市总体格局和空间结构的基础上，结合城镇开发边界动态维护情况、城市体检评估中存在的问题和城市建设需求，对各类用地进行局部优化。城区用地布局调整主要结合城市更新，提升城市品质，补齐公服和基础设施短板；开发区用地布局调整主要结合重点发展区域，增加产业用地规模，以高水平空间要素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保障城市高质量发展。通过本次维护，产业、基础设施、公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服设施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等用地比例进一步提升，公园绿地、广场步行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分钟覆盖率有提升，中心城区用地结构得到进一步优化。</w:t>
      </w:r>
    </w:p>
    <w:p w14:paraId="62D08DD3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（七）重点建设项目清单正向优化</w:t>
      </w:r>
    </w:p>
    <w:p w14:paraId="518BC47C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依据国家、省、市“十五五”重点项目，结合长春市当前发展重点区域及市直部门重大项目需求，共将84个项目纳入</w:t>
      </w:r>
      <w:r>
        <w:rPr>
          <w:rFonts w:ascii="Times New Roman" w:eastAsia="仿宋_GB2312" w:hAnsi="Times New Roman" w:cs="Times New Roman"/>
          <w:sz w:val="32"/>
          <w:szCs w:val="32"/>
        </w:rPr>
        <w:t>国土空间</w:t>
      </w:r>
      <w:r>
        <w:rPr>
          <w:rFonts w:ascii="仿宋_GB2312" w:eastAsia="仿宋_GB2312" w:hAnsi="仿宋_GB2312" w:cs="仿宋_GB2312" w:hint="eastAsia"/>
          <w:sz w:val="32"/>
          <w:szCs w:val="32"/>
        </w:rPr>
        <w:t>规划动态维护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重点建设项目清单，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包括交通、能源、水利、信息通信等类型，</w:t>
      </w:r>
      <w:r>
        <w:rPr>
          <w:rFonts w:ascii="Times New Roman" w:eastAsia="仿宋_GB2312" w:hAnsi="Times New Roman" w:cs="Times New Roman"/>
          <w:sz w:val="32"/>
          <w:szCs w:val="32"/>
        </w:rPr>
        <w:t>后续将根据项目实施进展开展重点建设项目清单动态更新，持续做好空间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要素</w:t>
      </w:r>
      <w:r>
        <w:rPr>
          <w:rFonts w:ascii="Times New Roman" w:eastAsia="仿宋_GB2312" w:hAnsi="Times New Roman" w:cs="Times New Roman"/>
          <w:sz w:val="32"/>
          <w:szCs w:val="32"/>
        </w:rPr>
        <w:t>保障服务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18F15A8" w14:textId="77777777" w:rsidR="00F22DF4" w:rsidRDefault="004E3B6A">
      <w:pPr>
        <w:pStyle w:val="2"/>
        <w:widowControl/>
        <w:snapToGrid w:val="0"/>
        <w:spacing w:before="80" w:beforeAutospacing="0" w:after="80" w:afterAutospacing="0" w:line="560" w:lineRule="exact"/>
        <w:ind w:firstLineChars="200" w:firstLine="640"/>
        <w:rPr>
          <w:rFonts w:ascii="黑体" w:eastAsia="黑体" w:cs="黑体" w:hint="default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六、实施保障</w:t>
      </w:r>
    </w:p>
    <w:p w14:paraId="7838FF3F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（一）强化实施传导</w:t>
      </w:r>
    </w:p>
    <w:p w14:paraId="727834A4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为推动动态维护方案有效落地，明确对各类专项规划及重大建设项目的指引要求。交通、水利等各类专项规划，在选址布局过程中需与动态维护方案开展合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性对接，保障重大建设项目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按维护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要求合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落位。</w:t>
      </w:r>
    </w:p>
    <w:p w14:paraId="492DAB20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（二）健全实施监测</w:t>
      </w:r>
    </w:p>
    <w:p w14:paraId="74E18629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将动态维护方案执行情况全面纳入国土空间规划实施监管范畴，依托国土空间规划实施监测网络及年度国土变更调查，重点管控城镇开发边界合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管控等关键环节。结合年度体检评估，同步评价执行效果，对未落实地区或项目启动督促整改。</w:t>
      </w:r>
    </w:p>
    <w:p w14:paraId="0E977981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outlineLvl w:val="1"/>
        <w:rPr>
          <w:rFonts w:ascii="Times New Roman" w:eastAsia="楷体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 w:hint="eastAsia"/>
          <w:bCs/>
          <w:sz w:val="32"/>
          <w:szCs w:val="32"/>
        </w:rPr>
        <w:t>（三）加强实施评估</w:t>
      </w:r>
    </w:p>
    <w:p w14:paraId="0A7BABCD" w14:textId="77777777" w:rsidR="00F22DF4" w:rsidRDefault="004E3B6A">
      <w:pPr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sz w:val="32"/>
          <w:szCs w:val="40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依托国土空间规划“一张图”实施监督信息系统，对动态维护方案编制、汇交、审查、实施全流程开展数字化管控。及时汇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交成果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并统一管理，全方位核查合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性；实时跟踪执行进度，开展动态评估与措施优化，确保高效闭环推进。</w:t>
      </w:r>
    </w:p>
    <w:sectPr w:rsidR="00F22DF4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D99"/>
    <w:rsid w:val="00172A27"/>
    <w:rsid w:val="00296707"/>
    <w:rsid w:val="004E3B6A"/>
    <w:rsid w:val="005D09E2"/>
    <w:rsid w:val="00F22DF4"/>
    <w:rsid w:val="02650D10"/>
    <w:rsid w:val="036A2AA8"/>
    <w:rsid w:val="051A6879"/>
    <w:rsid w:val="05346C08"/>
    <w:rsid w:val="05CF7D50"/>
    <w:rsid w:val="0861256B"/>
    <w:rsid w:val="090C7346"/>
    <w:rsid w:val="0A5D7F5D"/>
    <w:rsid w:val="0AFC16BE"/>
    <w:rsid w:val="0B4959B4"/>
    <w:rsid w:val="0D5154EF"/>
    <w:rsid w:val="0D5B114F"/>
    <w:rsid w:val="145C3CEA"/>
    <w:rsid w:val="15842F42"/>
    <w:rsid w:val="16581370"/>
    <w:rsid w:val="19614D0C"/>
    <w:rsid w:val="1BE107B4"/>
    <w:rsid w:val="1EBB436E"/>
    <w:rsid w:val="21CF38AD"/>
    <w:rsid w:val="21DD628D"/>
    <w:rsid w:val="221517BD"/>
    <w:rsid w:val="22515DA7"/>
    <w:rsid w:val="23242C60"/>
    <w:rsid w:val="25620D2E"/>
    <w:rsid w:val="264234C6"/>
    <w:rsid w:val="2C72660E"/>
    <w:rsid w:val="30F027A5"/>
    <w:rsid w:val="32986301"/>
    <w:rsid w:val="3381740E"/>
    <w:rsid w:val="39C41294"/>
    <w:rsid w:val="3FDD6F85"/>
    <w:rsid w:val="442E38B9"/>
    <w:rsid w:val="45A9627B"/>
    <w:rsid w:val="49260292"/>
    <w:rsid w:val="496E5A82"/>
    <w:rsid w:val="4BB705C2"/>
    <w:rsid w:val="4D5E2FC0"/>
    <w:rsid w:val="4E3D0C03"/>
    <w:rsid w:val="50765747"/>
    <w:rsid w:val="51120433"/>
    <w:rsid w:val="51736DAF"/>
    <w:rsid w:val="51D44ADF"/>
    <w:rsid w:val="54E029AD"/>
    <w:rsid w:val="55F07CC1"/>
    <w:rsid w:val="570861EB"/>
    <w:rsid w:val="59125592"/>
    <w:rsid w:val="597305A5"/>
    <w:rsid w:val="5A8A6894"/>
    <w:rsid w:val="5FEB44F1"/>
    <w:rsid w:val="63CF256B"/>
    <w:rsid w:val="64F52207"/>
    <w:rsid w:val="6E652F74"/>
    <w:rsid w:val="6E9817AB"/>
    <w:rsid w:val="6FD254B1"/>
    <w:rsid w:val="72727FE1"/>
    <w:rsid w:val="72D776B2"/>
    <w:rsid w:val="780659D7"/>
    <w:rsid w:val="79660E24"/>
    <w:rsid w:val="7DD32800"/>
    <w:rsid w:val="7DF21C4C"/>
    <w:rsid w:val="7E1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5D09E2"/>
    <w:rPr>
      <w:sz w:val="18"/>
      <w:szCs w:val="18"/>
    </w:rPr>
  </w:style>
  <w:style w:type="character" w:customStyle="1" w:styleId="Char">
    <w:name w:val="批注框文本 Char"/>
    <w:basedOn w:val="a0"/>
    <w:link w:val="a6"/>
    <w:rsid w:val="005D09E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5D09E2"/>
    <w:rPr>
      <w:sz w:val="18"/>
      <w:szCs w:val="18"/>
    </w:rPr>
  </w:style>
  <w:style w:type="character" w:customStyle="1" w:styleId="Char">
    <w:name w:val="批注框文本 Char"/>
    <w:basedOn w:val="a0"/>
    <w:link w:val="a6"/>
    <w:rsid w:val="005D09E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B3A2680-B1EF-41A8-8E70-F875ED23D5BB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向隅</dc:creator>
  <cp:lastModifiedBy>lenovo</cp:lastModifiedBy>
  <cp:revision>4</cp:revision>
  <cp:lastPrinted>2026-08-21T07:53:00Z</cp:lastPrinted>
  <dcterms:created xsi:type="dcterms:W3CDTF">2026-08-21T08:37:00Z</dcterms:created>
  <dcterms:modified xsi:type="dcterms:W3CDTF">2026-08-21T08:42:00Z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44EB1308F6D345CDA66A89D43886B1F0_13</vt:lpwstr>
  </property>
  <property fmtid="{D5CDD505-2E9C-101B-9397-08002B2CF9AE}" pid="4" name="KSOTemplateDocerSaveRecord">
    <vt:lpwstr>eyJoZGlkIjoiODE0MjU3YWMyMGMwMzBhZmU2ZDBjYzY2NTY0ZDI1ZGQiLCJ1c2VySWQiOiIyMjMxMTgxMzUifQ==</vt:lpwstr>
  </property>
</Properties>
</file>